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15000"/>
      <w:r>
        <w:rPr>
          <w:rStyle w:val="5"/>
          <w:rFonts w:hint="default"/>
          <w:sz w:val="24"/>
          <w:szCs w:val="24"/>
        </w:rPr>
        <w:t xml:space="preserve">Приложение </w:t>
      </w:r>
      <w:r>
        <w:rPr>
          <w:rStyle w:val="5"/>
          <w:rFonts w:hint="default"/>
          <w:sz w:val="24"/>
          <w:szCs w:val="24"/>
        </w:rPr>
        <w:br w:type="textWrapping"/>
      </w:r>
      <w:r>
        <w:rPr>
          <w:rStyle w:val="5"/>
          <w:rFonts w:hint="default"/>
          <w:sz w:val="24"/>
          <w:szCs w:val="24"/>
        </w:rPr>
        <w:t xml:space="preserve">к </w:t>
      </w:r>
      <w:r>
        <w:rPr>
          <w:rStyle w:val="5"/>
          <w:rFonts w:hint="default"/>
          <w:sz w:val="24"/>
          <w:szCs w:val="24"/>
        </w:rPr>
        <w:fldChar w:fldCharType="begin"/>
      </w:r>
      <w:r>
        <w:rPr>
          <w:rStyle w:val="5"/>
          <w:rFonts w:hint="default"/>
          <w:sz w:val="24"/>
          <w:szCs w:val="24"/>
        </w:rPr>
        <w:instrText xml:space="preserve">HYPERLINK \l "sub_1000"</w:instrText>
      </w:r>
      <w:r>
        <w:rPr>
          <w:rStyle w:val="5"/>
          <w:rFonts w:hint="default"/>
          <w:sz w:val="24"/>
          <w:szCs w:val="24"/>
        </w:rPr>
        <w:fldChar w:fldCharType="separate"/>
      </w:r>
      <w:r>
        <w:rPr>
          <w:rStyle w:val="6"/>
          <w:rFonts w:hint="default"/>
          <w:sz w:val="24"/>
          <w:szCs w:val="24"/>
        </w:rPr>
        <w:t>Программе</w:t>
      </w:r>
      <w:r>
        <w:rPr>
          <w:rStyle w:val="6"/>
          <w:rFonts w:hint="default"/>
          <w:sz w:val="24"/>
          <w:szCs w:val="24"/>
        </w:rPr>
        <w:fldChar w:fldCharType="end"/>
      </w:r>
      <w:r>
        <w:rPr>
          <w:rStyle w:val="5"/>
          <w:rFonts w:hint="default"/>
          <w:sz w:val="24"/>
          <w:szCs w:val="24"/>
        </w:rPr>
        <w:t xml:space="preserve"> государственных</w:t>
      </w:r>
      <w:r>
        <w:rPr>
          <w:rStyle w:val="5"/>
          <w:rFonts w:hint="default"/>
          <w:sz w:val="24"/>
          <w:szCs w:val="24"/>
        </w:rPr>
        <w:br w:type="textWrapping"/>
      </w:r>
      <w:r>
        <w:rPr>
          <w:rStyle w:val="5"/>
          <w:rFonts w:hint="default"/>
          <w:sz w:val="24"/>
          <w:szCs w:val="24"/>
        </w:rPr>
        <w:t>гарантий бесплатного оказания</w:t>
      </w:r>
      <w:r>
        <w:rPr>
          <w:rStyle w:val="5"/>
          <w:rFonts w:hint="default"/>
          <w:sz w:val="24"/>
          <w:szCs w:val="24"/>
        </w:rPr>
        <w:br w:type="textWrapping"/>
      </w:r>
      <w:r>
        <w:rPr>
          <w:rStyle w:val="5"/>
          <w:rFonts w:hint="default"/>
          <w:sz w:val="24"/>
          <w:szCs w:val="24"/>
        </w:rPr>
        <w:t>гражданам медицинской помощи</w:t>
      </w:r>
      <w:r>
        <w:rPr>
          <w:rStyle w:val="5"/>
          <w:rFonts w:hint="default"/>
          <w:sz w:val="24"/>
          <w:szCs w:val="24"/>
        </w:rPr>
        <w:br w:type="textWrapping"/>
      </w:r>
      <w:r>
        <w:rPr>
          <w:rStyle w:val="5"/>
          <w:rFonts w:hint="default"/>
          <w:sz w:val="24"/>
          <w:szCs w:val="24"/>
        </w:rPr>
        <w:t>на 2024 год и на плановый</w:t>
      </w:r>
      <w:r>
        <w:rPr>
          <w:rStyle w:val="5"/>
          <w:rFonts w:hint="default"/>
          <w:sz w:val="24"/>
          <w:szCs w:val="24"/>
        </w:rPr>
        <w:br w:type="textWrapping"/>
      </w:r>
      <w:r>
        <w:rPr>
          <w:rStyle w:val="5"/>
          <w:rFonts w:hint="default"/>
          <w:sz w:val="24"/>
          <w:szCs w:val="24"/>
        </w:rPr>
        <w:t>период 2025 и 2026 годов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2"/>
        <w:spacing w:beforeLines="0" w:afterLines="0"/>
        <w:rPr>
          <w:rFonts w:hint="default"/>
          <w:sz w:val="24"/>
          <w:szCs w:val="24"/>
        </w:rPr>
      </w:pPr>
      <w:bookmarkStart w:id="22" w:name="_GoBack"/>
      <w:r>
        <w:rPr>
          <w:rFonts w:hint="default"/>
          <w:sz w:val="24"/>
          <w:szCs w:val="24"/>
        </w:rPr>
        <w:t>Перечень исследований и иных медицинских вмешательств, проводимых в рамках углубленной диспансеризации</w:t>
      </w:r>
      <w:bookmarkEnd w:id="22"/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  <w:bookmarkStart w:id="1" w:name="sub_15001"/>
      <w:r>
        <w:rPr>
          <w:rFonts w:hint="default"/>
          <w:sz w:val="24"/>
          <w:szCs w:val="24"/>
        </w:rPr>
        <w:t>1. Первый этап углубленной диспансеризации, который проводится в целях выявления у граждан, перенесших новую коронавирусную инфекцию (COVID-19) (далее - диспансеризация),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bookmarkEnd w:id="1"/>
    <w:p>
      <w:pPr>
        <w:spacing w:beforeLines="0" w:afterLines="0"/>
        <w:rPr>
          <w:rFonts w:hint="default"/>
          <w:sz w:val="24"/>
          <w:szCs w:val="24"/>
        </w:rPr>
      </w:pPr>
      <w:bookmarkStart w:id="2" w:name="sub_15011"/>
      <w:r>
        <w:rPr>
          <w:rFonts w:hint="default"/>
          <w:sz w:val="24"/>
          <w:szCs w:val="24"/>
        </w:rPr>
        <w:t>а) измерение насыщения крови кислородом (сатурация) в покое;</w:t>
      </w:r>
    </w:p>
    <w:bookmarkEnd w:id="2"/>
    <w:p>
      <w:pPr>
        <w:spacing w:beforeLines="0" w:afterLines="0"/>
        <w:rPr>
          <w:rFonts w:hint="default"/>
          <w:sz w:val="24"/>
          <w:szCs w:val="24"/>
        </w:rPr>
      </w:pPr>
      <w:bookmarkStart w:id="3" w:name="sub_15012"/>
      <w:r>
        <w:rPr>
          <w:rFonts w:hint="default"/>
          <w:sz w:val="24"/>
          <w:szCs w:val="24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bookmarkEnd w:id="3"/>
    <w:p>
      <w:pPr>
        <w:spacing w:beforeLines="0" w:afterLines="0"/>
        <w:rPr>
          <w:rFonts w:hint="default"/>
          <w:sz w:val="24"/>
          <w:szCs w:val="24"/>
        </w:rPr>
      </w:pPr>
      <w:bookmarkStart w:id="4" w:name="sub_15013"/>
      <w:r>
        <w:rPr>
          <w:rFonts w:hint="default"/>
          <w:sz w:val="24"/>
          <w:szCs w:val="24"/>
        </w:rPr>
        <w:t>в) проведение спирометрии или спирографии;</w:t>
      </w:r>
    </w:p>
    <w:bookmarkEnd w:id="4"/>
    <w:p>
      <w:pPr>
        <w:spacing w:beforeLines="0" w:afterLines="0"/>
        <w:rPr>
          <w:rFonts w:hint="default"/>
          <w:sz w:val="24"/>
          <w:szCs w:val="24"/>
        </w:rPr>
      </w:pPr>
      <w:bookmarkStart w:id="5" w:name="sub_15014"/>
      <w:r>
        <w:rPr>
          <w:rFonts w:hint="default"/>
          <w:sz w:val="24"/>
          <w:szCs w:val="24"/>
        </w:rPr>
        <w:t>г) общий (клинический) анализ крови развернутый;</w:t>
      </w:r>
    </w:p>
    <w:bookmarkEnd w:id="5"/>
    <w:p>
      <w:pPr>
        <w:spacing w:beforeLines="0" w:afterLines="0"/>
        <w:rPr>
          <w:rFonts w:hint="default"/>
          <w:sz w:val="24"/>
          <w:szCs w:val="24"/>
        </w:rPr>
      </w:pPr>
      <w:bookmarkStart w:id="6" w:name="sub_15015"/>
      <w:r>
        <w:rPr>
          <w:rFonts w:hint="default"/>
          <w:sz w:val="24"/>
          <w:szCs w:val="24"/>
        </w:rPr>
        <w:t>д) биохимический анализ крови (включая исследования уровня холестерина, уровня липопротеинов низкой плотности, С-реактивного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bookmarkEnd w:id="6"/>
    <w:p>
      <w:pPr>
        <w:spacing w:beforeLines="0" w:afterLines="0"/>
        <w:rPr>
          <w:rFonts w:hint="default"/>
          <w:sz w:val="24"/>
          <w:szCs w:val="24"/>
        </w:rPr>
      </w:pPr>
      <w:bookmarkStart w:id="7" w:name="sub_15016"/>
      <w:r>
        <w:rPr>
          <w:rFonts w:hint="default"/>
          <w:sz w:val="24"/>
          <w:szCs w:val="24"/>
        </w:rP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bookmarkEnd w:id="7"/>
    <w:p>
      <w:pPr>
        <w:spacing w:beforeLines="0" w:afterLines="0"/>
        <w:rPr>
          <w:rFonts w:hint="default"/>
          <w:sz w:val="24"/>
          <w:szCs w:val="24"/>
        </w:rPr>
      </w:pPr>
      <w:bookmarkStart w:id="8" w:name="sub_15017"/>
      <w:r>
        <w:rPr>
          <w:rFonts w:hint="default"/>
          <w:sz w:val="24"/>
          <w:szCs w:val="24"/>
        </w:rPr>
        <w:t>ж) проведение рентгенографии органов грудной клетки (если не выполнялась ранее в течение года);</w:t>
      </w:r>
    </w:p>
    <w:bookmarkEnd w:id="8"/>
    <w:p>
      <w:pPr>
        <w:spacing w:beforeLines="0" w:afterLines="0"/>
        <w:rPr>
          <w:rFonts w:hint="default"/>
          <w:sz w:val="24"/>
          <w:szCs w:val="24"/>
        </w:rPr>
      </w:pPr>
      <w:bookmarkStart w:id="9" w:name="sub_15018"/>
      <w:r>
        <w:rPr>
          <w:rFonts w:hint="default"/>
          <w:sz w:val="24"/>
          <w:szCs w:val="24"/>
        </w:rPr>
        <w:t>з) прием (осмотр) врачом-терапевтом (участковым терапевтом, врачом общей практики).</w:t>
      </w:r>
    </w:p>
    <w:bookmarkEnd w:id="9"/>
    <w:p>
      <w:pPr>
        <w:spacing w:beforeLines="0" w:afterLines="0"/>
        <w:rPr>
          <w:rFonts w:hint="default"/>
          <w:sz w:val="24"/>
          <w:szCs w:val="24"/>
        </w:rPr>
      </w:pPr>
      <w:bookmarkStart w:id="10" w:name="sub_15002"/>
      <w:r>
        <w:rPr>
          <w:rFonts w:hint="default"/>
          <w:sz w:val="24"/>
          <w:szCs w:val="24"/>
        </w:rPr>
        <w:t>2. 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bookmarkEnd w:id="10"/>
    <w:p>
      <w:pPr>
        <w:spacing w:beforeLines="0" w:afterLines="0"/>
        <w:rPr>
          <w:rFonts w:hint="default"/>
          <w:sz w:val="24"/>
          <w:szCs w:val="24"/>
        </w:rPr>
      </w:pPr>
      <w:bookmarkStart w:id="11" w:name="sub_15021"/>
      <w:r>
        <w:rPr>
          <w:rFonts w:hint="default"/>
          <w:sz w:val="24"/>
          <w:szCs w:val="24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bookmarkEnd w:id="11"/>
    <w:p>
      <w:pPr>
        <w:spacing w:beforeLines="0" w:afterLines="0"/>
        <w:rPr>
          <w:rFonts w:hint="default"/>
          <w:sz w:val="24"/>
          <w:szCs w:val="24"/>
        </w:rPr>
      </w:pPr>
      <w:bookmarkStart w:id="12" w:name="sub_15022"/>
      <w:r>
        <w:rPr>
          <w:rFonts w:hint="default"/>
          <w:sz w:val="24"/>
          <w:szCs w:val="24"/>
        </w:rP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bookmarkEnd w:id="12"/>
    <w:p>
      <w:pPr>
        <w:spacing w:beforeLines="0" w:afterLines="0"/>
        <w:rPr>
          <w:rFonts w:hint="default"/>
          <w:sz w:val="24"/>
          <w:szCs w:val="24"/>
        </w:rPr>
      </w:pPr>
      <w:bookmarkStart w:id="13" w:name="sub_15023"/>
      <w:r>
        <w:rPr>
          <w:rFonts w:hint="default"/>
          <w:sz w:val="24"/>
          <w:szCs w:val="24"/>
        </w:rP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bookmarkEnd w:id="13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14" w:name="sub_16000"/>
      <w:r>
        <w:rPr>
          <w:rStyle w:val="5"/>
          <w:rFonts w:hint="default"/>
          <w:sz w:val="24"/>
          <w:szCs w:val="24"/>
        </w:rPr>
        <w:t>Приложение N 6</w:t>
      </w:r>
      <w:r>
        <w:rPr>
          <w:rStyle w:val="5"/>
          <w:rFonts w:hint="default"/>
          <w:sz w:val="24"/>
          <w:szCs w:val="24"/>
        </w:rPr>
        <w:br w:type="textWrapping"/>
      </w:r>
      <w:r>
        <w:rPr>
          <w:rStyle w:val="5"/>
          <w:rFonts w:hint="default"/>
          <w:sz w:val="24"/>
          <w:szCs w:val="24"/>
        </w:rPr>
        <w:t xml:space="preserve">к </w:t>
      </w:r>
      <w:r>
        <w:rPr>
          <w:rStyle w:val="5"/>
          <w:rFonts w:hint="default"/>
          <w:sz w:val="24"/>
          <w:szCs w:val="24"/>
        </w:rPr>
        <w:fldChar w:fldCharType="begin"/>
      </w:r>
      <w:r>
        <w:rPr>
          <w:rStyle w:val="5"/>
          <w:rFonts w:hint="default"/>
          <w:sz w:val="24"/>
          <w:szCs w:val="24"/>
        </w:rPr>
        <w:instrText xml:space="preserve">HYPERLINK \l "sub_1000"</w:instrText>
      </w:r>
      <w:r>
        <w:rPr>
          <w:rStyle w:val="5"/>
          <w:rFonts w:hint="default"/>
          <w:sz w:val="24"/>
          <w:szCs w:val="24"/>
        </w:rPr>
        <w:fldChar w:fldCharType="separate"/>
      </w:r>
      <w:r>
        <w:rPr>
          <w:rStyle w:val="6"/>
          <w:rFonts w:hint="default"/>
          <w:sz w:val="24"/>
          <w:szCs w:val="24"/>
        </w:rPr>
        <w:t>Программе</w:t>
      </w:r>
      <w:r>
        <w:rPr>
          <w:rStyle w:val="6"/>
          <w:rFonts w:hint="default"/>
          <w:sz w:val="24"/>
          <w:szCs w:val="24"/>
        </w:rPr>
        <w:fldChar w:fldCharType="end"/>
      </w:r>
      <w:r>
        <w:rPr>
          <w:rStyle w:val="5"/>
          <w:rFonts w:hint="default"/>
          <w:sz w:val="24"/>
          <w:szCs w:val="24"/>
        </w:rPr>
        <w:t xml:space="preserve"> государственных</w:t>
      </w:r>
      <w:r>
        <w:rPr>
          <w:rStyle w:val="5"/>
          <w:rFonts w:hint="default"/>
          <w:sz w:val="24"/>
          <w:szCs w:val="24"/>
        </w:rPr>
        <w:br w:type="textWrapping"/>
      </w:r>
      <w:r>
        <w:rPr>
          <w:rStyle w:val="5"/>
          <w:rFonts w:hint="default"/>
          <w:sz w:val="24"/>
          <w:szCs w:val="24"/>
        </w:rPr>
        <w:t>гарантий бесплатного оказания</w:t>
      </w:r>
      <w:r>
        <w:rPr>
          <w:rStyle w:val="5"/>
          <w:rFonts w:hint="default"/>
          <w:sz w:val="24"/>
          <w:szCs w:val="24"/>
        </w:rPr>
        <w:br w:type="textWrapping"/>
      </w:r>
      <w:r>
        <w:rPr>
          <w:rStyle w:val="5"/>
          <w:rFonts w:hint="default"/>
          <w:sz w:val="24"/>
          <w:szCs w:val="24"/>
        </w:rPr>
        <w:t>гражданам медицинской помощи</w:t>
      </w:r>
      <w:r>
        <w:rPr>
          <w:rStyle w:val="5"/>
          <w:rFonts w:hint="default"/>
          <w:sz w:val="24"/>
          <w:szCs w:val="24"/>
        </w:rPr>
        <w:br w:type="textWrapping"/>
      </w:r>
      <w:r>
        <w:rPr>
          <w:rStyle w:val="5"/>
          <w:rFonts w:hint="default"/>
          <w:sz w:val="24"/>
          <w:szCs w:val="24"/>
        </w:rPr>
        <w:t>на 2024 год и на плановый</w:t>
      </w:r>
      <w:r>
        <w:rPr>
          <w:rStyle w:val="5"/>
          <w:rFonts w:hint="default"/>
          <w:sz w:val="24"/>
          <w:szCs w:val="24"/>
        </w:rPr>
        <w:br w:type="textWrapping"/>
      </w:r>
      <w:r>
        <w:rPr>
          <w:rStyle w:val="5"/>
          <w:rFonts w:hint="default"/>
          <w:sz w:val="24"/>
          <w:szCs w:val="24"/>
        </w:rPr>
        <w:t>период 2025 и 2026 годов</w:t>
      </w:r>
    </w:p>
    <w:bookmarkEnd w:id="14"/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2"/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Перечень исследований и иных медицинских вмешательств, проводимых в рамках диспансеризации взрослого населения репродуктивного возраста по оценке репродуктивного здоровья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  <w:bookmarkStart w:id="15" w:name="sub_16001"/>
      <w:r>
        <w:rPr>
          <w:rFonts w:hint="default"/>
          <w:sz w:val="24"/>
          <w:szCs w:val="24"/>
        </w:rPr>
        <w:t>1. Диспансеризация взрослого населения репродуктивного возраста по оценке репродуктивного здоровья (далее - диспансеризация) проводится в целях выявления у граждан признаков заболеваний или состояний, которые могут негативно повлиять на беременность и последующее течение беременности, родов и послеродового периода репродуктивного, а также факторов риска их развития.</w:t>
      </w:r>
    </w:p>
    <w:bookmarkEnd w:id="15"/>
    <w:p>
      <w:pPr>
        <w:spacing w:beforeLines="0" w:afterLines="0"/>
        <w:rPr>
          <w:rFonts w:hint="default"/>
          <w:sz w:val="24"/>
          <w:szCs w:val="24"/>
        </w:rPr>
      </w:pPr>
      <w:bookmarkStart w:id="16" w:name="sub_16002"/>
      <w:r>
        <w:rPr>
          <w:rFonts w:hint="default"/>
          <w:sz w:val="24"/>
          <w:szCs w:val="24"/>
        </w:rPr>
        <w:t>2. Первый этап диспансеризации включает:</w:t>
      </w:r>
    </w:p>
    <w:bookmarkEnd w:id="16"/>
    <w:p>
      <w:pPr>
        <w:spacing w:beforeLines="0" w:afterLines="0"/>
        <w:rPr>
          <w:rFonts w:hint="default"/>
          <w:sz w:val="24"/>
          <w:szCs w:val="24"/>
        </w:rPr>
      </w:pPr>
      <w:bookmarkStart w:id="17" w:name="sub_16021"/>
      <w:r>
        <w:rPr>
          <w:rFonts w:hint="default"/>
          <w:sz w:val="24"/>
          <w:szCs w:val="24"/>
        </w:rPr>
        <w:t>а) у женщин прием (осмотр) врачом акушером-гинекологом; пальпация молочных желез;</w:t>
      </w:r>
    </w:p>
    <w:bookmarkEnd w:id="17"/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осмотр шейки матки в зеркалах с забором материала на исследование;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микроскопическое исследование влагалищных мазков;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цитологическое исследование мазка с поверхности шейки матки и цервикального канала (за исключением случаев невозможности проведения исследования по медицинским показаниям в связи с экстирпацией матки, virgo). Цитологическое исследование мазка (соскоба) с шейки матки проводится при его окрашивании по Папаниколау (другие способы окраски не допускаются);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 женщин в возрасте 18 - 29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реакции;</w:t>
      </w:r>
    </w:p>
    <w:p>
      <w:pPr>
        <w:spacing w:beforeLines="0" w:afterLines="0"/>
        <w:rPr>
          <w:rFonts w:hint="default"/>
          <w:sz w:val="24"/>
          <w:szCs w:val="24"/>
        </w:rPr>
      </w:pPr>
      <w:bookmarkStart w:id="18" w:name="sub_16022"/>
      <w:r>
        <w:rPr>
          <w:rFonts w:hint="default"/>
          <w:sz w:val="24"/>
          <w:szCs w:val="24"/>
        </w:rPr>
        <w:t>б) у мужчин прием (осмотр) врачом-урологом (при его отсутствии врачом-хирургом, прошедшим подготовку по вопросам репродуктивного здоровья у мужчин).</w:t>
      </w:r>
    </w:p>
    <w:bookmarkEnd w:id="18"/>
    <w:p>
      <w:pPr>
        <w:spacing w:beforeLines="0" w:afterLines="0"/>
        <w:rPr>
          <w:rFonts w:hint="default"/>
          <w:sz w:val="24"/>
          <w:szCs w:val="24"/>
        </w:rPr>
      </w:pPr>
      <w:bookmarkStart w:id="19" w:name="sub_16003"/>
      <w:r>
        <w:rPr>
          <w:rFonts w:hint="default"/>
          <w:sz w:val="24"/>
          <w:szCs w:val="24"/>
        </w:rPr>
        <w:t>3. Второй этап диспансеризации проводится по результатам первого этапа в целях дополнительного обследования и уточнения диагноза заболевания (состояния) и при наличии показаний включает:</w:t>
      </w:r>
    </w:p>
    <w:bookmarkEnd w:id="19"/>
    <w:p>
      <w:pPr>
        <w:spacing w:beforeLines="0" w:afterLines="0"/>
        <w:rPr>
          <w:rFonts w:hint="default"/>
          <w:sz w:val="24"/>
          <w:szCs w:val="24"/>
        </w:rPr>
      </w:pPr>
      <w:bookmarkStart w:id="20" w:name="sub_16031"/>
      <w:r>
        <w:rPr>
          <w:rFonts w:hint="default"/>
          <w:sz w:val="24"/>
          <w:szCs w:val="24"/>
        </w:rPr>
        <w:t>а) у женщин:</w:t>
      </w:r>
    </w:p>
    <w:bookmarkEnd w:id="20"/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 возрасте 30 - 49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реакции;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ультразвуковое исследование органов малого таза в начале или середине менструального цикла;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ультразвуковое исследование молочных желез;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повторный прием (осмотр) врачом акушером-гинекологом;</w:t>
      </w:r>
    </w:p>
    <w:p>
      <w:pPr>
        <w:spacing w:beforeLines="0" w:afterLines="0"/>
        <w:rPr>
          <w:rFonts w:hint="default"/>
          <w:sz w:val="24"/>
          <w:szCs w:val="24"/>
        </w:rPr>
      </w:pPr>
      <w:bookmarkStart w:id="21" w:name="sub_16032"/>
      <w:r>
        <w:rPr>
          <w:rFonts w:hint="default"/>
          <w:sz w:val="24"/>
          <w:szCs w:val="24"/>
        </w:rPr>
        <w:t>б) у мужчин:</w:t>
      </w:r>
    </w:p>
    <w:bookmarkEnd w:id="21"/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спермограмму;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реакции;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ультразвуковое исследование предстательной железы и органов мошонки;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повторный прием (осмотр) врачом-урологом (при его отсутствии врачом-хирургом, прошедшим подготовку по вопросам репродуктивного здоровья у мужчин).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/>
    <w:sectPr>
      <w:headerReference r:id="rId4" w:type="default"/>
      <w:footerReference r:id="rId5" w:type="default"/>
      <w:pgSz w:w="11905" w:h="16837"/>
      <w:pgMar w:top="1440" w:right="800" w:bottom="1440" w:left="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5000" w:type="pc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509"/>
      <w:gridCol w:w="3506"/>
      <w:gridCol w:w="3506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pStyle w:val="7"/>
            <w:spacing w:beforeLines="0" w:afterLines="0"/>
            <w:rPr>
              <w:rFonts w:hint="default"/>
              <w:sz w:val="20"/>
              <w:szCs w:val="24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pStyle w:val="7"/>
            <w:spacing w:beforeLines="0" w:afterLines="0"/>
            <w:jc w:val="center"/>
            <w:rPr>
              <w:rFonts w:hint="default"/>
              <w:sz w:val="20"/>
              <w:szCs w:val="24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pStyle w:val="7"/>
            <w:spacing w:beforeLines="0" w:afterLines="0"/>
            <w:jc w:val="right"/>
            <w:rPr>
              <w:rFonts w:hint="default"/>
              <w:sz w:val="20"/>
              <w:szCs w:val="24"/>
            </w:rPr>
          </w:pPr>
          <w:r>
            <w:rPr>
              <w:rFonts w:hint="default"/>
              <w:sz w:val="20"/>
              <w:szCs w:val="24"/>
            </w:rPr>
            <w:fldChar w:fldCharType="begin"/>
          </w:r>
          <w:r>
            <w:rPr>
              <w:rFonts w:hint="default"/>
              <w:sz w:val="20"/>
              <w:szCs w:val="24"/>
            </w:rPr>
            <w:instrText xml:space="preserve">PAGE  \* MERGEFORMAT </w:instrText>
          </w:r>
          <w:r>
            <w:rPr>
              <w:rFonts w:hint="default"/>
              <w:sz w:val="20"/>
              <w:szCs w:val="24"/>
            </w:rPr>
            <w:fldChar w:fldCharType="separate"/>
          </w:r>
          <w:r>
            <w:rPr>
              <w:rFonts w:hint="default"/>
              <w:sz w:val="20"/>
              <w:szCs w:val="24"/>
            </w:rPr>
            <w:fldChar w:fldCharType="end"/>
          </w:r>
        </w:p>
      </w:tc>
    </w:tr>
  </w:tbl>
  <w:p>
    <w:pPr>
      <w:spacing w:beforeLines="0" w:afterLines="0"/>
      <w:rPr>
        <w:rFonts w:hint="defaul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ind w:firstLine="0"/>
      <w:jc w:val="left"/>
      <w:rPr>
        <w:rFonts w:hint="default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733CE"/>
    <w:rsid w:val="5437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  <w:ind w:firstLine="720"/>
      <w:jc w:val="both"/>
    </w:pPr>
    <w:rPr>
      <w:rFonts w:hint="default" w:ascii="Times New Roman CYR" w:hAnsi="Times New Roman CYR" w:eastAsia="Times New Roman CYR" w:cs="Times New Roman"/>
      <w:sz w:val="24"/>
      <w:szCs w:val="24"/>
    </w:rPr>
  </w:style>
  <w:style w:type="paragraph" w:styleId="2">
    <w:name w:val="heading 1"/>
    <w:basedOn w:val="1"/>
    <w:next w:val="1"/>
    <w:unhideWhenUsed/>
    <w:uiPriority w:val="99"/>
    <w:pPr>
      <w:spacing w:before="108" w:beforeLines="0" w:after="108" w:afterLines="0"/>
      <w:ind w:firstLine="0"/>
      <w:jc w:val="center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6">
    <w:name w:val="Гипертекстовая ссылка"/>
    <w:basedOn w:val="5"/>
    <w:unhideWhenUsed/>
    <w:qFormat/>
    <w:uiPriority w:val="99"/>
    <w:rPr>
      <w:rFonts w:hint="default"/>
      <w:b w:val="0"/>
      <w:color w:val="106BBE"/>
      <w:sz w:val="24"/>
      <w:szCs w:val="24"/>
    </w:rPr>
  </w:style>
  <w:style w:type="paragraph" w:customStyle="1" w:styleId="7">
    <w:name w:val="Таблицы (моноширинный)"/>
    <w:basedOn w:val="1"/>
    <w:next w:val="1"/>
    <w:unhideWhenUsed/>
    <w:qFormat/>
    <w:uiPriority w:val="99"/>
    <w:pPr>
      <w:spacing w:beforeLines="0" w:afterLines="0"/>
      <w:ind w:firstLine="0"/>
      <w:jc w:val="left"/>
    </w:pPr>
    <w:rPr>
      <w:rFonts w:hint="default" w:ascii="Courier New" w:hAnsi="Courier New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2024-01-24T04:40:00Z</dcterms:created>
  <dc:creator>User12</dc:creator>
  <cp:lastModifiedBy>User12</cp:lastModifiedBy>
  <dcterms:modified xsi:type="dcterms:W3CDTF">2024-01-24T04:49:34Z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8D406E92A3984F4481AEC8BEA17B2700_11</vt:lpwstr>
  </property>
</Properties>
</file>