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5B7C18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4818380" cy="2254885"/>
                      <wp:effectExtent l="31750" t="36830" r="36195" b="323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2254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0819" w:rsidRPr="00591FFD" w:rsidRDefault="00670819" w:rsidP="00160B3C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C3643F">
                                    <w:rPr>
                                      <w:rFonts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r w:rsidRPr="00591FFD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ДФО граждан, у ко</w:t>
                                  </w:r>
                                  <w:r w:rsidR="00BF0F20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торых начиная с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1 января 2019 г. родился </w:t>
                                  </w:r>
                                  <w:r w:rsidR="000B2EC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первый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:rsidR="00670819" w:rsidRPr="00F34E9C" w:rsidRDefault="00670819" w:rsidP="00160B3C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C3643F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</w:t>
                                  </w:r>
                                  <w:r w:rsidR="00BF0F20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18 лет, в которой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летнего возраста на день подачи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2.3pt;margin-top:-.45pt;width:379.4pt;height:1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:rsidR="00670819" w:rsidRPr="00591FFD" w:rsidRDefault="00670819" w:rsidP="00160B3C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3643F">
                              <w:rPr>
                                <w:rFonts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r w:rsidRPr="00591FFD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ДФО граждан, у ко</w:t>
                            </w:r>
                            <w:r w:rsidR="00BF0F20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торых начиная с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1 января 2019 г. родился </w:t>
                            </w:r>
                            <w:r w:rsidR="000B2EC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первый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:rsidR="00670819" w:rsidRPr="00F34E9C" w:rsidRDefault="00670819" w:rsidP="00160B3C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C3643F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</w:t>
                            </w:r>
                            <w:r w:rsidR="00BF0F20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18 лет, в которой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летнего возраста на день подачи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Pr="00C3643F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:rsidR="00197C66" w:rsidRPr="00162CE6" w:rsidRDefault="00B61E98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, 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горячей линии"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="00787140"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 w:rsidR="00787140"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государст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 и муниципальных услуг,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 w:rsidR="00351575"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</w:t>
            </w:r>
            <w:r w:rsidR="00B42818" w:rsidRPr="00162CE6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:rsidR="00197C66" w:rsidRPr="006A6178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="00856125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//mszn.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.ru</w:t>
              </w:r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6A617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="00325149" w:rsidRPr="006A6178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>ерриториальн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ого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тделения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Социального ф</w:t>
            </w:r>
            <w:r w:rsidR="001208F3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онда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России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по Хабаровскому 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и Е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врейской автономной области </w:t>
            </w:r>
            <w:hyperlink r:id="rId7" w:history="1">
              <w:r w:rsidR="00325149"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A6178" w:rsidRDefault="00197C66" w:rsidP="0063632A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государственных и муниципальных услуг</w:t>
            </w:r>
            <w:r w:rsidR="00A23720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197C66" w:rsidRPr="001605E7" w:rsidRDefault="00197C66" w:rsidP="00EA201B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 w:rsidR="00EA201B"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C1572E" w:rsidRDefault="0064770A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5BD45" wp14:editId="7ADACA78">
                  <wp:extent cx="3912781" cy="2530549"/>
                  <wp:effectExtent l="0" t="0" r="0" b="0"/>
                  <wp:docPr id="1" name="Рисунок 1" descr="C:\Users\sipotapova\Desktop\1647646029_8-amiel-club-p-mama-papa-i-rebenok-kartinki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potapova\Desktop\1647646029_8-amiel-club-p-mama-papa-i-rebenok-kartinki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619" cy="254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45" w:rsidRDefault="004E1445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E575B" w:rsidRDefault="000E575B" w:rsidP="007C5417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МЕРЫ ГОСУДАРСТВЕННОЙ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ПОДДЕРЖКИ СЕМЕЙ ПРИ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244061" w:themeColor="accent1" w:themeShade="80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РОЖДЕНИИ </w:t>
            </w:r>
            <w:r w:rsidR="006829C1"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>ПЕРВОГО</w:t>
            </w: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7C5417" w:rsidRDefault="007C5417" w:rsidP="00197C66">
            <w:pPr>
              <w:tabs>
                <w:tab w:val="left" w:pos="709"/>
              </w:tabs>
              <w:ind w:right="203"/>
              <w:jc w:val="center"/>
            </w:pPr>
          </w:p>
          <w:p w:rsidR="001208F3" w:rsidRDefault="001208F3" w:rsidP="00197C66">
            <w:pPr>
              <w:tabs>
                <w:tab w:val="left" w:pos="709"/>
              </w:tabs>
              <w:ind w:right="203"/>
              <w:jc w:val="center"/>
            </w:pPr>
          </w:p>
          <w:p w:rsidR="008924B8" w:rsidRDefault="008924B8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Хабаровск</w:t>
            </w:r>
          </w:p>
          <w:p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20</w:t>
            </w:r>
            <w:r w:rsidR="004315A8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  <w:r w:rsidR="007019A4">
              <w:rPr>
                <w:b/>
                <w:color w:val="244061" w:themeColor="accent1" w:themeShade="80"/>
                <w:sz w:val="36"/>
                <w:szCs w:val="36"/>
              </w:rPr>
              <w:t>3</w:t>
            </w:r>
            <w:r w:rsidR="00EA201B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Pr="006A6178" w:rsidRDefault="005D1241" w:rsidP="003817FC">
            <w:pPr>
              <w:spacing w:after="240"/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9F54FC" w:rsidRPr="006A6178">
              <w:rPr>
                <w:b/>
                <w:color w:val="4F6228" w:themeColor="accent3" w:themeShade="80"/>
                <w:sz w:val="32"/>
                <w:szCs w:val="32"/>
              </w:rPr>
              <w:t>ПЕРВЫЙ</w:t>
            </w: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ED5715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</w:pP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Приглашаем родителей, у которых родился </w:t>
                  </w:r>
                  <w:r w:rsidR="009F54FC"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первый </w:t>
                  </w: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ребенок, </w:t>
                  </w:r>
                </w:p>
                <w:p w:rsidR="00115FD1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</w:pPr>
                  <w:r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>оформить</w:t>
                  </w:r>
                  <w:r w:rsidR="0019362B" w:rsidRPr="00ED5715">
                    <w:rPr>
                      <w:rFonts w:ascii="Monotype Corsiva" w:hAnsi="Monotype Corsiva" w:cs="Microsoft Sans Serif"/>
                      <w:color w:val="0070C0"/>
                      <w:sz w:val="32"/>
                      <w:szCs w:val="32"/>
                    </w:rPr>
                    <w:t xml:space="preserve"> меры государственной поддержки</w:t>
                  </w:r>
                </w:p>
                <w:p w:rsidR="00115FD1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В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центре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социальной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поддержки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населения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месту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жительства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>:</w:t>
                  </w:r>
                </w:p>
                <w:p w:rsidR="00A70568" w:rsidRPr="00A70568" w:rsidRDefault="00A70568" w:rsidP="00E15876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</w:p>
                <w:p w:rsidR="00EF29E0" w:rsidRPr="009C7543" w:rsidRDefault="00C82458" w:rsidP="00792418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     </w:t>
                  </w:r>
                  <w:r w:rsidR="00EF29E0" w:rsidRPr="009C7543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="00EF29E0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единовременную денежную выплату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связи с рождением первого ребенка </w:t>
                  </w:r>
                  <w:r w:rsidR="00E679F3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</w:t>
                  </w:r>
                  <w:r w:rsidR="007006F6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42 240</w:t>
                  </w:r>
                  <w:r w:rsidR="007042C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. Предоставляется семьям</w:t>
                  </w:r>
                  <w:r w:rsidR="00126AF6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 проживающим на территории края</w:t>
                  </w:r>
                  <w:r w:rsidR="00EF29E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, </w:t>
                  </w:r>
                  <w:r w:rsidR="00B2030B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если</w:t>
                  </w:r>
                  <w:r w:rsidR="00983C64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обращение </w:t>
                  </w:r>
                  <w:r w:rsidR="000B2EC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за назначением </w:t>
                  </w:r>
                  <w:r w:rsidR="00983C64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последовало в течение одно</w:t>
                  </w:r>
                  <w:r w:rsidR="00E679F3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го года со дня рождения ребенка;</w:t>
                  </w:r>
                </w:p>
                <w:p w:rsidR="0019362B" w:rsidRPr="009C7543" w:rsidRDefault="0019362B" w:rsidP="005D19E1">
                  <w:pPr>
                    <w:tabs>
                      <w:tab w:val="left" w:pos="709"/>
                    </w:tabs>
                    <w:ind w:firstLine="278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*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. Предоставляется, если расходы на оплату </w:t>
                  </w:r>
                  <w:r w:rsidR="00977297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жилищно-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:rsidR="00115FD1" w:rsidRPr="009C7543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бесплатн</w:t>
                  </w:r>
                  <w:r w:rsidR="0019362B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ую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44BB8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путевку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на отдых и оздоровление детей 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в возрасте</w:t>
                  </w:r>
                  <w:r w:rsidR="00A551EF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DC0FA7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br/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от 4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 </w:t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;</w:t>
                  </w:r>
                </w:p>
                <w:p w:rsidR="000D4D32" w:rsidRPr="009C7543" w:rsidRDefault="00A902C7" w:rsidP="000D4D32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*</w:t>
                  </w:r>
                  <w:r w:rsidR="000D4D32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CC0D50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"</w:t>
                  </w:r>
                  <w:r w:rsidR="00CC0D50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одарок </w:t>
                  </w:r>
                  <w:r w:rsidR="000D4D32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новорожденно</w:t>
                  </w:r>
                  <w:r w:rsidR="00CC0D50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му"</w:t>
                  </w:r>
                  <w:r w:rsidR="00CC0D50" w:rsidRPr="009C7543">
                    <w:rPr>
                      <w:rFonts w:cs="Times New Roman"/>
                      <w:color w:val="000000" w:themeColor="text1"/>
                      <w:szCs w:val="28"/>
                    </w:rPr>
                    <w:t xml:space="preserve"> </w:t>
                  </w:r>
                  <w:r w:rsidR="00CC0D5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(при условии, что комплект не был получен в родильном доме). Необходимо обратиться в течение трех месяцев со дня рождения ребенка</w:t>
                  </w:r>
                  <w:r w:rsidR="00B7020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  <w:r w:rsidR="00CC0D50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0D4D32" w:rsidRPr="00C06E9D" w:rsidRDefault="00C06E9D" w:rsidP="00C06E9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</w:pPr>
                  <w:r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    </w:t>
                  </w:r>
                  <w:r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 xml:space="preserve"> Е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сли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семья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является</w:t>
                  </w:r>
                  <w:r w:rsidR="00115FD1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115FD1" w:rsidRPr="00C06E9D">
                    <w:rPr>
                      <w:rFonts w:cs="Times New Roman"/>
                      <w:b/>
                      <w:color w:val="C00000"/>
                      <w:spacing w:val="-4"/>
                      <w:sz w:val="24"/>
                      <w:szCs w:val="24"/>
                    </w:rPr>
                    <w:t>малоимущей</w:t>
                  </w:r>
                  <w:r w:rsidR="00616827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>,</w:t>
                  </w:r>
                  <w:r w:rsidR="00C41546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C41546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дополнительно</w:t>
                  </w:r>
                  <w:r w:rsidR="00C41546" w:rsidRPr="00C06E9D">
                    <w:rPr>
                      <w:rFonts w:ascii="AngsanaUPC" w:hAnsi="AngsanaUPC" w:cs="AngsanaUPC"/>
                      <w:color w:val="C00000"/>
                      <w:spacing w:val="-4"/>
                      <w:sz w:val="24"/>
                      <w:szCs w:val="24"/>
                    </w:rPr>
                    <w:t xml:space="preserve"> </w:t>
                  </w:r>
                  <w:r w:rsidR="00C41546" w:rsidRPr="00C06E9D">
                    <w:rPr>
                      <w:rFonts w:cs="Times New Roman"/>
                      <w:color w:val="C00000"/>
                      <w:spacing w:val="-4"/>
                      <w:sz w:val="24"/>
                      <w:szCs w:val="24"/>
                    </w:rPr>
                    <w:t>предоставляется</w:t>
                  </w:r>
                  <w:r w:rsidR="00115FD1" w:rsidRPr="00C06E9D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>:</w:t>
                  </w:r>
                </w:p>
                <w:p w:rsidR="009C7543" w:rsidRDefault="00115FD1" w:rsidP="006041A5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</w:t>
                  </w:r>
                  <w:r w:rsidR="00733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рии семьи</w:t>
                  </w:r>
                  <w:r w:rsid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733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: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1 606,25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до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2 141,66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руб.</w:t>
                  </w:r>
                  <w:r w:rsidR="005D19E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(на ребенка-инвалида; на ребенка, родитель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62882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которого: является инвалидом, </w:t>
                  </w:r>
                  <w:r w:rsidR="00762882" w:rsidRPr="009C7543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762882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Се</w:t>
                  </w:r>
                  <w:r w:rsidR="0070330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вера, Сибири и Дальнего Востока, обучается в образовательной организации, отно</w:t>
                  </w:r>
                  <w:r w:rsidR="0078116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сится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983C64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 детям-сиротам,  </w:t>
                  </w:r>
                  <w:r w:rsidR="00724A55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детям, оставшимся  без  попечения  родителей  и  лицам из их  числа,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уклоняется от уплаты алиментов);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642,50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856,67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(на ребенка одинокой матери); 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481,87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42,50</w:t>
                  </w:r>
                  <w:r w:rsidR="00961C1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(в базовом размере). </w:t>
                  </w:r>
                  <w:r w:rsidR="00CD4346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Предоставляется семьям, </w:t>
                  </w:r>
                  <w:r w:rsidR="00E12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если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E34B3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19 170 </w:t>
                  </w:r>
                  <w:r w:rsidR="00E12D3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</w:t>
                  </w:r>
                  <w:r w:rsidR="00C7534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.,</w:t>
                  </w:r>
                  <w:r w:rsidR="006041A5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C75341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и </w:t>
                  </w:r>
                  <w:r w:rsidR="00C75341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на ребенка не назначены ежемесячные выплаты по другим основаниям.</w:t>
                  </w:r>
                  <w:r w:rsidR="00096B5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Выплачивается ежемесячно до достижения возраста</w:t>
                  </w:r>
                  <w:r w:rsidR="00B2030B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16 лет (если ребенок-инвалид или обучается в общеобразовательной организации –</w:t>
                  </w:r>
                  <w:r w:rsidR="00B2030B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 18 лет). Назначается сроком на 12 месяцев;</w:t>
                  </w:r>
                </w:p>
                <w:p w:rsidR="001F380A" w:rsidRDefault="00800D49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</w:t>
                  </w:r>
                  <w:r w:rsidR="007F162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3E47A5"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="007F1629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6C4664" w:rsidRDefault="00800D49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="00143217" w:rsidRPr="009C7543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ED5715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Д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оход на одного человека не 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должен 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превыша</w:t>
                  </w:r>
                  <w:r w:rsidR="00214906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ть</w:t>
                  </w:r>
                  <w:r w:rsidR="00143217"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величину</w:t>
                  </w:r>
                  <w:r w:rsidR="001F380A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="001F380A" w:rsidRPr="001F380A">
                    <w:rPr>
                      <w:rFonts w:cs="Times New Roman"/>
                      <w:spacing w:val="-4"/>
                      <w:sz w:val="21"/>
                      <w:szCs w:val="21"/>
                    </w:rPr>
                    <w:t>прожиточного минимума по социально-демографическим группам. Размер зависит от выбранных мероприятий программы социальной адаптации семьи:</w:t>
                  </w:r>
                </w:p>
                <w:p w:rsidR="006C4664" w:rsidRDefault="001F380A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6C4664"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- 20 895 руб. от одного до четырех месяцев – на поиск работы;</w:t>
                  </w:r>
                </w:p>
                <w:p w:rsidR="006C4664" w:rsidRDefault="006C4664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:rsidR="006C4664" w:rsidRPr="00CD4346" w:rsidRDefault="006C4664" w:rsidP="006C4664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хозяйства.</w:t>
                  </w:r>
                </w:p>
                <w:p w:rsidR="001F380A" w:rsidRPr="00781166" w:rsidRDefault="001F380A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</w:p>
              </w:tc>
              <w:tc>
                <w:tcPr>
                  <w:tcW w:w="7775" w:type="dxa"/>
                </w:tcPr>
                <w:p w:rsidR="00115FD1" w:rsidRPr="00B7020D" w:rsidRDefault="00115FD1" w:rsidP="008E6630">
                  <w:pPr>
                    <w:spacing w:before="40" w:line="240" w:lineRule="exact"/>
                    <w:ind w:left="113"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lastRenderedPageBreak/>
                    <w:t xml:space="preserve">В территориальных органах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Социального фонда России</w:t>
                  </w:r>
                  <w:r w:rsidR="001F7D82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A70568" w:rsidRDefault="00F551F5" w:rsidP="00E15876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both"/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 </w:t>
                  </w:r>
                </w:p>
                <w:p w:rsidR="00C82458" w:rsidRPr="001F380A" w:rsidRDefault="00F551F5" w:rsidP="00C8245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both"/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</w:t>
                  </w:r>
                  <w:r w:rsidR="00C82458"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>* ежемесячную выплату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в связи с рождением (усыновлением) первого ребенка в размере </w:t>
                  </w:r>
                  <w:r w:rsidR="00970BD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21 120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 руб. до достижения ребенком возраста трех лет. </w:t>
                  </w:r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Первый  ребенок должен быть рожден</w:t>
                  </w:r>
                  <w:r w:rsidR="00DB6DD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с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01.01.2018 по 31.12.2022.</w:t>
                  </w:r>
                  <w:r w:rsidR="00547F87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Выплата назначается в случае, если доход на одного члена семьи не превышает </w:t>
                  </w:r>
                  <w:r w:rsidR="00970BD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41 790</w:t>
                  </w:r>
                  <w:r w:rsidR="00C82458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руб.;</w:t>
                  </w:r>
                </w:p>
                <w:p w:rsidR="00115FD1" w:rsidRPr="001F380A" w:rsidRDefault="00115FD1" w:rsidP="004359F8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материнский (семейный) капитал </w:t>
                  </w:r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в размере</w:t>
                  </w:r>
                  <w:r w:rsidR="006312C9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5</w:t>
                  </w:r>
                  <w:r w:rsidR="00B52D65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86 946,72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руб</w:t>
                  </w:r>
                  <w:r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Средства могут быть направлены:</w:t>
                  </w:r>
                </w:p>
                <w:p w:rsidR="00115FD1" w:rsidRPr="005036A6" w:rsidRDefault="00115FD1" w:rsidP="004359F8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0E59F9"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улучшение жилищных условий</w:t>
                  </w:r>
                  <w:r w:rsidR="000A331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(приобретение жилого помещения; строительство или реконструкция объекта индивидуального жилищного строительства (ИЖС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)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компенсация затрат за построенный или реконструированный объект 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ИЖС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уплата первоначального взноса при получении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ипотечного кредита (займа)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на приобретение или строительство жилья; погашение основного долга и уплата процентов по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ипотечным кредитам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; уплата цены по договору участия в долевом строительстве; платеж в счет уплаты вступительного взноса и (или) паевого взноса);</w:t>
                  </w:r>
                </w:p>
                <w:p w:rsidR="00115FD1" w:rsidRPr="005036A6" w:rsidRDefault="00115FD1" w:rsidP="007A607F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-</w:t>
                  </w:r>
                  <w:r w:rsidRPr="005036A6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447DE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получение образования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детьми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(оплата платных образовательных услуг по образовательным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коммунальных услуг в общежитии, предоставляемом организацией на период обучения)</w:t>
                  </w:r>
                  <w:r w:rsidR="00BF286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:rsidR="00395F4F" w:rsidRPr="005036A6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63632A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формирование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накопительной части пенсии ма</w:t>
                  </w:r>
                  <w:r w:rsidR="00BF286D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мы</w:t>
                  </w:r>
                  <w:r w:rsidR="00143217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;</w:t>
                  </w:r>
                  <w:r w:rsidR="00A1468A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115FD1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на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800D49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:rsidR="001C4AC9" w:rsidRPr="005036A6" w:rsidRDefault="001C4AC9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 ежемесячн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ую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выплат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размере 21 120 руб.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если доход на одного члена семьи не превышает 41 790 руб</w:t>
                  </w:r>
                  <w:r w:rsidR="007A607F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Выплачивается 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до достижения ребенком возраста </w:t>
                  </w:r>
                  <w:r w:rsidR="0044625C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3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лет</w:t>
                  </w:r>
                  <w:r w:rsidR="00A30BB2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;</w:t>
                  </w:r>
                  <w:r w:rsidRPr="001C4AC9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</w:p>
                <w:p w:rsidR="00792418" w:rsidRPr="00C06E9D" w:rsidRDefault="00792418" w:rsidP="00C06E9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</w:t>
                  </w:r>
                  <w:r w:rsidR="00CE1143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8 591,47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руб.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районный ко</w:t>
                  </w:r>
                  <w:r w:rsidR="00FD54DE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эффициент (для 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неработающих граждан или обучающихся по очной форме обучения в образовательных организациях)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;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для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-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 размере 40 % среднего заработка</w:t>
                  </w:r>
                  <w:r w:rsidR="00A70568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мер 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33 282 руб.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="00BD4861"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:rsidR="00787549" w:rsidRPr="001F380A" w:rsidRDefault="007F1629" w:rsidP="007F162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в размере 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22 909,03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руб.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+ районный коэффициент. Пособие назначается, если обращение за ним последовало не позднее шести </w:t>
                  </w:r>
                  <w:r w:rsidR="00BD486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месяцев со дня рождения ребенка.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787549"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:rsidR="00F054CD" w:rsidRDefault="00531C67" w:rsidP="00F054CD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 w:rsid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единое пособие)</w:t>
                  </w:r>
                  <w:r w:rsidR="009F564F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 w:rsidR="00F054CD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D060DE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:rsidR="00002F67" w:rsidRDefault="00002F67" w:rsidP="00002F67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ежемесячный доход на человека в семье не 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превышает </w:t>
                  </w:r>
                  <w:r w:rsidR="00F054CD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19 170 руб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531C67" w:rsidRPr="00531C67" w:rsidRDefault="00002F67" w:rsidP="00002F67">
                  <w:pPr>
                    <w:tabs>
                      <w:tab w:val="left" w:pos="-108"/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собственность семьи соответствует установленным критериям;</w:t>
                  </w:r>
                </w:p>
                <w:p w:rsidR="00703E90" w:rsidRDefault="00002F67" w:rsidP="00703E90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- трудоспособные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члены семьи имеют заработок или объективные причины его отсутствия.</w:t>
                  </w:r>
                  <w:r w:rsidR="00703E90"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</w:p>
                <w:p w:rsidR="00A30BB2" w:rsidRPr="00DC1F9A" w:rsidRDefault="00703E90" w:rsidP="00A30BB2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i/>
                      <w:sz w:val="21"/>
                      <w:szCs w:val="21"/>
                    </w:rPr>
                  </w:pPr>
                  <w:r w:rsidRPr="00703E90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Раз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мер зависит от доходов семьи</w:t>
                  </w:r>
                  <w:r w:rsidR="00E15876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и может составлять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: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10 560 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(50 % величины прожиточного минимума на детей в крае),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15 840 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(75 %),</w:t>
                  </w:r>
                  <w:r w:rsidR="00837DB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2</w:t>
                  </w:r>
                  <w:r w:rsidR="00837DB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1 120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(100 %). 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Pr="00961C1D" w:rsidRDefault="00AA1B61" w:rsidP="009F231A">
      <w:pPr>
        <w:rPr>
          <w:sz w:val="2"/>
          <w:szCs w:val="2"/>
        </w:rPr>
      </w:pPr>
    </w:p>
    <w:sectPr w:rsidR="00AA1B61" w:rsidRPr="00961C1D" w:rsidSect="00B7020D">
      <w:pgSz w:w="16838" w:h="11906" w:orient="landscape" w:code="9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11E1"/>
    <w:multiLevelType w:val="multilevel"/>
    <w:tmpl w:val="24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01066"/>
    <w:rsid w:val="00002F67"/>
    <w:rsid w:val="00027777"/>
    <w:rsid w:val="00071F0A"/>
    <w:rsid w:val="00075A75"/>
    <w:rsid w:val="000779C2"/>
    <w:rsid w:val="00095074"/>
    <w:rsid w:val="00096B59"/>
    <w:rsid w:val="00097E14"/>
    <w:rsid w:val="000A1312"/>
    <w:rsid w:val="000A3316"/>
    <w:rsid w:val="000A3B85"/>
    <w:rsid w:val="000B0246"/>
    <w:rsid w:val="000B2ECD"/>
    <w:rsid w:val="000C3184"/>
    <w:rsid w:val="000C371F"/>
    <w:rsid w:val="000C4B13"/>
    <w:rsid w:val="000C561A"/>
    <w:rsid w:val="000D08D2"/>
    <w:rsid w:val="000D4D3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08F3"/>
    <w:rsid w:val="00126AF6"/>
    <w:rsid w:val="00127E59"/>
    <w:rsid w:val="001334B8"/>
    <w:rsid w:val="001341B0"/>
    <w:rsid w:val="00136B0F"/>
    <w:rsid w:val="00140091"/>
    <w:rsid w:val="00143217"/>
    <w:rsid w:val="0014710A"/>
    <w:rsid w:val="001546D0"/>
    <w:rsid w:val="001605E7"/>
    <w:rsid w:val="00160B3C"/>
    <w:rsid w:val="0016128B"/>
    <w:rsid w:val="00162CE6"/>
    <w:rsid w:val="00183CD9"/>
    <w:rsid w:val="00192A82"/>
    <w:rsid w:val="0019362B"/>
    <w:rsid w:val="00193789"/>
    <w:rsid w:val="001961BD"/>
    <w:rsid w:val="00197C66"/>
    <w:rsid w:val="001C4AC9"/>
    <w:rsid w:val="001D798B"/>
    <w:rsid w:val="001E701A"/>
    <w:rsid w:val="001F12A4"/>
    <w:rsid w:val="001F380A"/>
    <w:rsid w:val="001F7D82"/>
    <w:rsid w:val="00200F07"/>
    <w:rsid w:val="00204394"/>
    <w:rsid w:val="00206CAC"/>
    <w:rsid w:val="00206D0A"/>
    <w:rsid w:val="00211047"/>
    <w:rsid w:val="00214906"/>
    <w:rsid w:val="00215A0D"/>
    <w:rsid w:val="00216A77"/>
    <w:rsid w:val="00224496"/>
    <w:rsid w:val="002333EE"/>
    <w:rsid w:val="00237B0D"/>
    <w:rsid w:val="00240C9E"/>
    <w:rsid w:val="00251778"/>
    <w:rsid w:val="00251C49"/>
    <w:rsid w:val="00287DC4"/>
    <w:rsid w:val="002A47A8"/>
    <w:rsid w:val="002C59F1"/>
    <w:rsid w:val="002F05BB"/>
    <w:rsid w:val="002F1A09"/>
    <w:rsid w:val="002F2A72"/>
    <w:rsid w:val="0030023C"/>
    <w:rsid w:val="00301278"/>
    <w:rsid w:val="00302788"/>
    <w:rsid w:val="00306510"/>
    <w:rsid w:val="00314735"/>
    <w:rsid w:val="00316305"/>
    <w:rsid w:val="00325149"/>
    <w:rsid w:val="003260C4"/>
    <w:rsid w:val="00326C9C"/>
    <w:rsid w:val="00331425"/>
    <w:rsid w:val="00345709"/>
    <w:rsid w:val="003512AE"/>
    <w:rsid w:val="00351575"/>
    <w:rsid w:val="00355DD8"/>
    <w:rsid w:val="0036007D"/>
    <w:rsid w:val="00360545"/>
    <w:rsid w:val="00360DAE"/>
    <w:rsid w:val="003651C6"/>
    <w:rsid w:val="003817FC"/>
    <w:rsid w:val="0038259D"/>
    <w:rsid w:val="0039095E"/>
    <w:rsid w:val="00391973"/>
    <w:rsid w:val="00395F4F"/>
    <w:rsid w:val="003B34F3"/>
    <w:rsid w:val="003C1480"/>
    <w:rsid w:val="003C1609"/>
    <w:rsid w:val="003E47A5"/>
    <w:rsid w:val="003F701D"/>
    <w:rsid w:val="00401BCB"/>
    <w:rsid w:val="00402EEB"/>
    <w:rsid w:val="00406F89"/>
    <w:rsid w:val="00423AF2"/>
    <w:rsid w:val="00424185"/>
    <w:rsid w:val="004315A8"/>
    <w:rsid w:val="004341BA"/>
    <w:rsid w:val="004359F8"/>
    <w:rsid w:val="00441AAC"/>
    <w:rsid w:val="00445FAC"/>
    <w:rsid w:val="0044625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A0419"/>
    <w:rsid w:val="004A0AA3"/>
    <w:rsid w:val="004B33E3"/>
    <w:rsid w:val="004B56B5"/>
    <w:rsid w:val="004D13A2"/>
    <w:rsid w:val="004E1445"/>
    <w:rsid w:val="004F4021"/>
    <w:rsid w:val="005036A6"/>
    <w:rsid w:val="00503D29"/>
    <w:rsid w:val="0051057F"/>
    <w:rsid w:val="005170E2"/>
    <w:rsid w:val="00527287"/>
    <w:rsid w:val="00531C67"/>
    <w:rsid w:val="00542640"/>
    <w:rsid w:val="00547F87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97F98"/>
    <w:rsid w:val="005A00C8"/>
    <w:rsid w:val="005B6790"/>
    <w:rsid w:val="005B7C18"/>
    <w:rsid w:val="005C26E4"/>
    <w:rsid w:val="005C6171"/>
    <w:rsid w:val="005D1241"/>
    <w:rsid w:val="005D19E1"/>
    <w:rsid w:val="005D3489"/>
    <w:rsid w:val="005E36AA"/>
    <w:rsid w:val="005E394B"/>
    <w:rsid w:val="005F3FAA"/>
    <w:rsid w:val="006041A5"/>
    <w:rsid w:val="00614655"/>
    <w:rsid w:val="00616827"/>
    <w:rsid w:val="006312C9"/>
    <w:rsid w:val="00632F3A"/>
    <w:rsid w:val="0063349B"/>
    <w:rsid w:val="0063632A"/>
    <w:rsid w:val="00636FF7"/>
    <w:rsid w:val="00637718"/>
    <w:rsid w:val="00642189"/>
    <w:rsid w:val="00644A2D"/>
    <w:rsid w:val="0064770A"/>
    <w:rsid w:val="00661A4A"/>
    <w:rsid w:val="00670819"/>
    <w:rsid w:val="0067163D"/>
    <w:rsid w:val="00671F2B"/>
    <w:rsid w:val="006746ED"/>
    <w:rsid w:val="00676488"/>
    <w:rsid w:val="006772CB"/>
    <w:rsid w:val="00677F58"/>
    <w:rsid w:val="00681BB4"/>
    <w:rsid w:val="006829C1"/>
    <w:rsid w:val="00683C96"/>
    <w:rsid w:val="0069291E"/>
    <w:rsid w:val="006A1635"/>
    <w:rsid w:val="006A2FB2"/>
    <w:rsid w:val="006A6178"/>
    <w:rsid w:val="006A7ADC"/>
    <w:rsid w:val="006B2C23"/>
    <w:rsid w:val="006C0C12"/>
    <w:rsid w:val="006C293E"/>
    <w:rsid w:val="006C4664"/>
    <w:rsid w:val="006D2C37"/>
    <w:rsid w:val="006D2E2E"/>
    <w:rsid w:val="006D4E96"/>
    <w:rsid w:val="006E71D7"/>
    <w:rsid w:val="007006F6"/>
    <w:rsid w:val="0070187E"/>
    <w:rsid w:val="007019A4"/>
    <w:rsid w:val="007024C8"/>
    <w:rsid w:val="00702869"/>
    <w:rsid w:val="00703301"/>
    <w:rsid w:val="00703E90"/>
    <w:rsid w:val="007042CD"/>
    <w:rsid w:val="007222AA"/>
    <w:rsid w:val="00722E81"/>
    <w:rsid w:val="00724056"/>
    <w:rsid w:val="00724A55"/>
    <w:rsid w:val="00725685"/>
    <w:rsid w:val="00733D39"/>
    <w:rsid w:val="00740E09"/>
    <w:rsid w:val="00740F5E"/>
    <w:rsid w:val="00744BB8"/>
    <w:rsid w:val="0074523F"/>
    <w:rsid w:val="00761850"/>
    <w:rsid w:val="00762882"/>
    <w:rsid w:val="0076292D"/>
    <w:rsid w:val="00780DBA"/>
    <w:rsid w:val="00781166"/>
    <w:rsid w:val="00783AB9"/>
    <w:rsid w:val="00787140"/>
    <w:rsid w:val="00787549"/>
    <w:rsid w:val="00792418"/>
    <w:rsid w:val="00792506"/>
    <w:rsid w:val="007A607F"/>
    <w:rsid w:val="007B7A71"/>
    <w:rsid w:val="007C4437"/>
    <w:rsid w:val="007C4912"/>
    <w:rsid w:val="007C5417"/>
    <w:rsid w:val="007D64DE"/>
    <w:rsid w:val="007E04CF"/>
    <w:rsid w:val="007E763F"/>
    <w:rsid w:val="007F1629"/>
    <w:rsid w:val="007F4E9E"/>
    <w:rsid w:val="00800D49"/>
    <w:rsid w:val="0080163F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37DB8"/>
    <w:rsid w:val="008519E3"/>
    <w:rsid w:val="008535FE"/>
    <w:rsid w:val="00856125"/>
    <w:rsid w:val="00865C27"/>
    <w:rsid w:val="00881052"/>
    <w:rsid w:val="00886B3A"/>
    <w:rsid w:val="00887A1E"/>
    <w:rsid w:val="00887FCC"/>
    <w:rsid w:val="00890072"/>
    <w:rsid w:val="008924B8"/>
    <w:rsid w:val="00893D93"/>
    <w:rsid w:val="008B7EDD"/>
    <w:rsid w:val="008C1B1D"/>
    <w:rsid w:val="008C1C9F"/>
    <w:rsid w:val="008D3AFE"/>
    <w:rsid w:val="008D3FED"/>
    <w:rsid w:val="008E35D5"/>
    <w:rsid w:val="008E6630"/>
    <w:rsid w:val="008F5C7C"/>
    <w:rsid w:val="00912E82"/>
    <w:rsid w:val="00923EDC"/>
    <w:rsid w:val="009306D7"/>
    <w:rsid w:val="0094156D"/>
    <w:rsid w:val="0094408D"/>
    <w:rsid w:val="009445F0"/>
    <w:rsid w:val="009513C2"/>
    <w:rsid w:val="009540B3"/>
    <w:rsid w:val="00961C1D"/>
    <w:rsid w:val="00970BDA"/>
    <w:rsid w:val="009718BA"/>
    <w:rsid w:val="00973BCB"/>
    <w:rsid w:val="0097429F"/>
    <w:rsid w:val="00974E42"/>
    <w:rsid w:val="00977297"/>
    <w:rsid w:val="00983C64"/>
    <w:rsid w:val="0098431F"/>
    <w:rsid w:val="00990D7B"/>
    <w:rsid w:val="00994B86"/>
    <w:rsid w:val="00994DAA"/>
    <w:rsid w:val="009A5B91"/>
    <w:rsid w:val="009B7877"/>
    <w:rsid w:val="009C0154"/>
    <w:rsid w:val="009C312C"/>
    <w:rsid w:val="009C7543"/>
    <w:rsid w:val="009D1A18"/>
    <w:rsid w:val="009D2B47"/>
    <w:rsid w:val="009E58BA"/>
    <w:rsid w:val="009F231A"/>
    <w:rsid w:val="009F54FC"/>
    <w:rsid w:val="009F564F"/>
    <w:rsid w:val="009F598A"/>
    <w:rsid w:val="00A02CDA"/>
    <w:rsid w:val="00A11BB7"/>
    <w:rsid w:val="00A1468A"/>
    <w:rsid w:val="00A23720"/>
    <w:rsid w:val="00A30BB2"/>
    <w:rsid w:val="00A36C07"/>
    <w:rsid w:val="00A551EF"/>
    <w:rsid w:val="00A5585E"/>
    <w:rsid w:val="00A56E76"/>
    <w:rsid w:val="00A61997"/>
    <w:rsid w:val="00A70568"/>
    <w:rsid w:val="00A73121"/>
    <w:rsid w:val="00A7394F"/>
    <w:rsid w:val="00A76B2C"/>
    <w:rsid w:val="00A85C91"/>
    <w:rsid w:val="00A863F9"/>
    <w:rsid w:val="00A902C7"/>
    <w:rsid w:val="00A965B5"/>
    <w:rsid w:val="00AA1B61"/>
    <w:rsid w:val="00AA5AE3"/>
    <w:rsid w:val="00AA7DA1"/>
    <w:rsid w:val="00AB2E25"/>
    <w:rsid w:val="00AC7683"/>
    <w:rsid w:val="00AD7C52"/>
    <w:rsid w:val="00AE4D1C"/>
    <w:rsid w:val="00AE6E8E"/>
    <w:rsid w:val="00AF4C55"/>
    <w:rsid w:val="00B00AB3"/>
    <w:rsid w:val="00B0284B"/>
    <w:rsid w:val="00B108FE"/>
    <w:rsid w:val="00B140EA"/>
    <w:rsid w:val="00B2030B"/>
    <w:rsid w:val="00B27074"/>
    <w:rsid w:val="00B42818"/>
    <w:rsid w:val="00B464F0"/>
    <w:rsid w:val="00B47CDB"/>
    <w:rsid w:val="00B52D65"/>
    <w:rsid w:val="00B53220"/>
    <w:rsid w:val="00B56D57"/>
    <w:rsid w:val="00B61E98"/>
    <w:rsid w:val="00B7020D"/>
    <w:rsid w:val="00B86987"/>
    <w:rsid w:val="00BA2861"/>
    <w:rsid w:val="00BA363E"/>
    <w:rsid w:val="00BB00BE"/>
    <w:rsid w:val="00BB769A"/>
    <w:rsid w:val="00BC07B5"/>
    <w:rsid w:val="00BD4861"/>
    <w:rsid w:val="00BD595B"/>
    <w:rsid w:val="00BF0F20"/>
    <w:rsid w:val="00BF286D"/>
    <w:rsid w:val="00C006BA"/>
    <w:rsid w:val="00C01AAD"/>
    <w:rsid w:val="00C06E9D"/>
    <w:rsid w:val="00C1572E"/>
    <w:rsid w:val="00C2706A"/>
    <w:rsid w:val="00C3643F"/>
    <w:rsid w:val="00C41546"/>
    <w:rsid w:val="00C47E1C"/>
    <w:rsid w:val="00C5697F"/>
    <w:rsid w:val="00C63324"/>
    <w:rsid w:val="00C75341"/>
    <w:rsid w:val="00C82458"/>
    <w:rsid w:val="00C86467"/>
    <w:rsid w:val="00C8790A"/>
    <w:rsid w:val="00CA0E92"/>
    <w:rsid w:val="00CA16A3"/>
    <w:rsid w:val="00CC0D50"/>
    <w:rsid w:val="00CD0930"/>
    <w:rsid w:val="00CD1E25"/>
    <w:rsid w:val="00CD2788"/>
    <w:rsid w:val="00CD4346"/>
    <w:rsid w:val="00CE1143"/>
    <w:rsid w:val="00CE314B"/>
    <w:rsid w:val="00CF0487"/>
    <w:rsid w:val="00D01825"/>
    <w:rsid w:val="00D05979"/>
    <w:rsid w:val="00D060DE"/>
    <w:rsid w:val="00D15605"/>
    <w:rsid w:val="00D20206"/>
    <w:rsid w:val="00D261C0"/>
    <w:rsid w:val="00D27889"/>
    <w:rsid w:val="00D32FB6"/>
    <w:rsid w:val="00D61DF2"/>
    <w:rsid w:val="00D732AD"/>
    <w:rsid w:val="00D8177A"/>
    <w:rsid w:val="00D86E0B"/>
    <w:rsid w:val="00D90EB1"/>
    <w:rsid w:val="00D95913"/>
    <w:rsid w:val="00DB3679"/>
    <w:rsid w:val="00DB4B72"/>
    <w:rsid w:val="00DB67A3"/>
    <w:rsid w:val="00DB6DD1"/>
    <w:rsid w:val="00DC0FA7"/>
    <w:rsid w:val="00DC1F9A"/>
    <w:rsid w:val="00DC6661"/>
    <w:rsid w:val="00DD5D38"/>
    <w:rsid w:val="00DD693D"/>
    <w:rsid w:val="00DD6FDA"/>
    <w:rsid w:val="00DE021C"/>
    <w:rsid w:val="00E12D39"/>
    <w:rsid w:val="00E15876"/>
    <w:rsid w:val="00E244E0"/>
    <w:rsid w:val="00E30BF6"/>
    <w:rsid w:val="00E324E3"/>
    <w:rsid w:val="00E34B31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201B"/>
    <w:rsid w:val="00EA4C88"/>
    <w:rsid w:val="00EC60C4"/>
    <w:rsid w:val="00ED2BB1"/>
    <w:rsid w:val="00ED5715"/>
    <w:rsid w:val="00ED7685"/>
    <w:rsid w:val="00EF09CD"/>
    <w:rsid w:val="00EF29E0"/>
    <w:rsid w:val="00F0317E"/>
    <w:rsid w:val="00F04881"/>
    <w:rsid w:val="00F054CD"/>
    <w:rsid w:val="00F25433"/>
    <w:rsid w:val="00F34E9C"/>
    <w:rsid w:val="00F551F5"/>
    <w:rsid w:val="00F63C24"/>
    <w:rsid w:val="00F71FCC"/>
    <w:rsid w:val="00F820CC"/>
    <w:rsid w:val="00F87817"/>
    <w:rsid w:val="00F9522A"/>
    <w:rsid w:val="00F95803"/>
    <w:rsid w:val="00F963D0"/>
    <w:rsid w:val="00FA22A5"/>
    <w:rsid w:val="00FA7304"/>
    <w:rsid w:val="00FC037F"/>
    <w:rsid w:val="00FC5669"/>
    <w:rsid w:val="00FD0978"/>
    <w:rsid w:val="00FD54DE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21B79-389A-443B-89EE-A09E0671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  <w:style w:type="character" w:styleId="a8">
    <w:name w:val="FollowedHyperlink"/>
    <w:basedOn w:val="a0"/>
    <w:uiPriority w:val="99"/>
    <w:semiHidden/>
    <w:unhideWhenUsed/>
    <w:rsid w:val="001208F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8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A8DA-576C-483B-AD5D-02865BF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Хицко Инна Юрьевна</cp:lastModifiedBy>
  <cp:revision>2</cp:revision>
  <cp:lastPrinted>2023-03-15T02:17:00Z</cp:lastPrinted>
  <dcterms:created xsi:type="dcterms:W3CDTF">2023-12-05T01:18:00Z</dcterms:created>
  <dcterms:modified xsi:type="dcterms:W3CDTF">2023-12-05T01:18:00Z</dcterms:modified>
</cp:coreProperties>
</file>